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“智慧芽免费账号”</w:t>
      </w:r>
      <w:r>
        <w:rPr>
          <w:rFonts w:hint="eastAsia" w:ascii="方正小标宋简体" w:eastAsia="方正小标宋简体"/>
          <w:sz w:val="36"/>
          <w:szCs w:val="36"/>
        </w:rPr>
        <w:t>使用申请表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tabs>
                <w:tab w:val="left" w:pos="810"/>
              </w:tabs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申请人姓名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2552" w:type="dxa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6521" w:type="dxa"/>
            <w:gridSpan w:val="3"/>
            <w:vAlign w:val="top"/>
          </w:tcPr>
          <w:p>
            <w:pPr>
              <w:tabs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科技型企业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知识产权服务机构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高校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科研院所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政府机构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行业协会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金融机构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其他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从事领域</w:t>
            </w:r>
          </w:p>
        </w:tc>
        <w:tc>
          <w:tcPr>
            <w:tcW w:w="6521" w:type="dxa"/>
            <w:gridSpan w:val="3"/>
            <w:vAlign w:val="top"/>
          </w:tcPr>
          <w:p>
            <w:pPr>
              <w:tabs>
                <w:tab w:val="left" w:pos="210"/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808080"/>
                <w:sz w:val="24"/>
                <w:szCs w:val="24"/>
              </w:rPr>
              <w:tab/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如：人工智能……等</w:t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ab/>
            </w:r>
          </w:p>
        </w:tc>
      </w:tr>
    </w:tbl>
    <w:p>
      <w:pPr>
        <w:tabs>
          <w:tab w:val="left" w:pos="810"/>
        </w:tabs>
        <w:spacing w:line="560" w:lineRule="exact"/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注：请于2020年2月5日（下周三）中午12:00前反馈至邮箱：</w:t>
      </w:r>
      <w:r>
        <w:rPr>
          <w:rFonts w:ascii="仿宋_GB2312" w:eastAsia="仿宋_GB2312"/>
          <w:sz w:val="32"/>
          <w:szCs w:val="32"/>
        </w:rPr>
        <w:t>ip-mb@capitalip.org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utoSpaceDE w:val="0"/>
        <w:autoSpaceDN w:val="0"/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2020-01-30T14:13:31Z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