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  <w:sz w:val="28"/>
        </w:rPr>
      </w:pPr>
      <w:bookmarkStart w:id="0" w:name="_Toc525649933"/>
      <w:bookmarkStart w:id="1" w:name="_Toc4579484"/>
      <w:r>
        <w:rPr>
          <w:rFonts w:ascii="仿宋" w:hAnsi="仿宋" w:eastAsia="仿宋"/>
          <w:sz w:val="28"/>
        </w:rPr>
        <w:t>2.6.</w:t>
      </w:r>
      <w:r>
        <w:rPr>
          <w:rFonts w:hint="eastAsia" w:ascii="仿宋" w:hAnsi="仿宋" w:eastAsia="仿宋"/>
          <w:sz w:val="28"/>
        </w:rPr>
        <w:t>专利详情</w:t>
      </w:r>
      <w:bookmarkEnd w:id="0"/>
      <w:bookmarkEnd w:id="1"/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如图，点击专利标题即可打开专利浏览器。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7960" cy="2294255"/>
            <wp:effectExtent l="0" t="0" r="8890" b="10795"/>
            <wp:docPr id="41" name="图片 41" descr="图片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图片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专利列表页</w:t>
      </w:r>
    </w:p>
    <w:p>
      <w:pPr>
        <w:pStyle w:val="2"/>
        <w:rPr>
          <w:rFonts w:ascii="仿宋" w:hAnsi="仿宋" w:eastAsia="仿宋"/>
          <w:sz w:val="28"/>
        </w:rPr>
      </w:pPr>
      <w:bookmarkStart w:id="2" w:name="_Toc525649937"/>
      <w:bookmarkStart w:id="3" w:name="_Toc520225147"/>
      <w:bookmarkStart w:id="4" w:name="_Toc4579485"/>
      <w:r>
        <w:rPr>
          <w:rFonts w:ascii="仿宋" w:hAnsi="仿宋" w:eastAsia="仿宋"/>
          <w:sz w:val="28"/>
        </w:rPr>
        <w:t>2.7.</w:t>
      </w:r>
      <w:r>
        <w:rPr>
          <w:rFonts w:hint="eastAsia" w:ascii="仿宋" w:hAnsi="仿宋" w:eastAsia="仿宋"/>
          <w:sz w:val="28"/>
        </w:rPr>
        <w:t>专利档案</w:t>
      </w:r>
      <w:bookmarkEnd w:id="2"/>
      <w:bookmarkEnd w:id="3"/>
      <w:bookmarkEnd w:id="4"/>
    </w:p>
    <w:p>
      <w:pPr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点击</w:t>
      </w:r>
      <w:r>
        <w:rPr>
          <w:rFonts w:ascii="仿宋" w:hAnsi="仿宋" w:eastAsia="仿宋"/>
          <w:sz w:val="28"/>
          <w:szCs w:val="28"/>
        </w:rPr>
        <w:t>专利档案</w:t>
      </w:r>
      <w:r>
        <w:rPr>
          <w:rFonts w:hint="eastAsia" w:ascii="仿宋" w:hAnsi="仿宋" w:eastAsia="仿宋"/>
          <w:sz w:val="28"/>
          <w:szCs w:val="28"/>
        </w:rPr>
        <w:t>，提供</w:t>
      </w:r>
      <w:r>
        <w:rPr>
          <w:rFonts w:ascii="仿宋" w:hAnsi="仿宋" w:eastAsia="仿宋"/>
          <w:sz w:val="28"/>
          <w:szCs w:val="28"/>
        </w:rPr>
        <w:t>单</w:t>
      </w:r>
      <w:r>
        <w:rPr>
          <w:rFonts w:hint="eastAsia" w:ascii="仿宋" w:hAnsi="仿宋" w:eastAsia="仿宋"/>
          <w:sz w:val="28"/>
          <w:szCs w:val="28"/>
        </w:rPr>
        <w:t>件</w:t>
      </w:r>
      <w:r>
        <w:rPr>
          <w:rFonts w:ascii="仿宋" w:hAnsi="仿宋" w:eastAsia="仿宋"/>
          <w:sz w:val="28"/>
          <w:szCs w:val="28"/>
        </w:rPr>
        <w:t>专利，新颖分析</w:t>
      </w:r>
      <w:r>
        <w:rPr>
          <w:rFonts w:hint="eastAsia" w:ascii="仿宋" w:hAnsi="仿宋" w:eastAsia="仿宋"/>
          <w:sz w:val="28"/>
          <w:szCs w:val="28"/>
        </w:rPr>
        <w:t>、跟随</w:t>
      </w:r>
      <w:r>
        <w:rPr>
          <w:rFonts w:ascii="仿宋" w:hAnsi="仿宋" w:eastAsia="仿宋"/>
          <w:sz w:val="28"/>
          <w:szCs w:val="28"/>
        </w:rPr>
        <w:t>分析</w:t>
      </w:r>
      <w:r>
        <w:rPr>
          <w:rFonts w:hint="eastAsia" w:ascii="仿宋" w:hAnsi="仿宋" w:eastAsia="仿宋"/>
          <w:sz w:val="28"/>
          <w:szCs w:val="28"/>
        </w:rPr>
        <w:t>、虚拟引用、技术价值度、专利价值度分析</w:t>
      </w:r>
      <w:r>
        <w:rPr>
          <w:rFonts w:ascii="仿宋" w:hAnsi="仿宋" w:eastAsia="仿宋"/>
          <w:sz w:val="28"/>
          <w:szCs w:val="28"/>
        </w:rPr>
        <w:t>展现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73675" cy="1202690"/>
            <wp:effectExtent l="0" t="0" r="3175" b="16510"/>
            <wp:docPr id="42" name="图片 42" descr="图片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图片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2548255"/>
            <wp:effectExtent l="0" t="0" r="4445" b="4445"/>
            <wp:docPr id="43" name="图片 43" descr="图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图片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专利价值度</w:t>
      </w:r>
    </w:p>
    <w:p>
      <w:pPr>
        <w:pStyle w:val="2"/>
        <w:rPr>
          <w:rFonts w:ascii="仿宋" w:hAnsi="仿宋" w:eastAsia="仿宋"/>
          <w:sz w:val="28"/>
        </w:rPr>
      </w:pPr>
      <w:bookmarkStart w:id="5" w:name="_Toc520225149"/>
      <w:bookmarkStart w:id="6" w:name="_Toc511567200"/>
      <w:bookmarkStart w:id="7" w:name="_Toc511564961"/>
      <w:bookmarkStart w:id="8" w:name="_Toc517536667"/>
      <w:bookmarkStart w:id="9" w:name="_Toc525649945"/>
      <w:bookmarkStart w:id="10" w:name="_Toc4579486"/>
      <w:bookmarkStart w:id="11" w:name="_Toc511564740"/>
      <w:bookmarkStart w:id="12" w:name="_Toc517537256"/>
      <w:r>
        <w:rPr>
          <w:rFonts w:ascii="仿宋" w:hAnsi="仿宋" w:eastAsia="仿宋"/>
          <w:sz w:val="28"/>
        </w:rPr>
        <w:t>2.8</w:t>
      </w:r>
      <w:r>
        <w:rPr>
          <w:rFonts w:hint="eastAsia" w:ascii="仿宋" w:hAnsi="仿宋" w:eastAsia="仿宋"/>
          <w:sz w:val="28"/>
        </w:rPr>
        <w:t>.检索历史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shd w:val="clear" w:color="auto" w:fill="FFFFFF"/>
        <w:spacing w:after="156" w:afterLines="5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系统会自动保存所有检索式</w:t>
      </w:r>
    </w:p>
    <w:p>
      <w:pPr>
        <w:shd w:val="clear" w:color="auto" w:fill="FFFFFF"/>
        <w:spacing w:line="375" w:lineRule="atLeast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4966970" cy="2493645"/>
            <wp:effectExtent l="0" t="0" r="5080" b="1905"/>
            <wp:docPr id="44" name="图片 44" descr="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图片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line="375" w:lineRule="atLeast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检索历史列表</w:t>
      </w:r>
    </w:p>
    <w:p>
      <w:pPr>
        <w:pStyle w:val="2"/>
        <w:rPr>
          <w:rFonts w:ascii="仿宋" w:hAnsi="仿宋" w:eastAsia="仿宋"/>
          <w:sz w:val="28"/>
        </w:rPr>
      </w:pPr>
      <w:bookmarkStart w:id="13" w:name="_Toc525649955"/>
      <w:bookmarkStart w:id="14" w:name="_Toc4579487"/>
      <w:bookmarkStart w:id="15" w:name="_Toc520225157"/>
      <w:r>
        <w:rPr>
          <w:rFonts w:ascii="仿宋" w:hAnsi="仿宋" w:eastAsia="仿宋"/>
          <w:sz w:val="28"/>
        </w:rPr>
        <w:t>2.9</w:t>
      </w:r>
      <w:r>
        <w:rPr>
          <w:rFonts w:hint="eastAsia" w:ascii="仿宋" w:hAnsi="仿宋" w:eastAsia="仿宋"/>
          <w:sz w:val="28"/>
        </w:rPr>
        <w:t>大数据分析报告</w:t>
      </w:r>
      <w:bookmarkEnd w:id="13"/>
      <w:bookmarkEnd w:id="14"/>
      <w:bookmarkEnd w:id="15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J</w:t>
      </w:r>
      <w:r>
        <w:rPr>
          <w:rFonts w:ascii="仿宋" w:hAnsi="仿宋" w:eastAsia="仿宋" w:cs="Arial"/>
          <w:sz w:val="28"/>
          <w:szCs w:val="28"/>
        </w:rPr>
        <w:t>oveEye支持大数据分析报告，包含科技报告、竞争报告、公司报告</w:t>
      </w:r>
      <w:r>
        <w:rPr>
          <w:rFonts w:hint="eastAsia" w:ascii="仿宋" w:hAnsi="仿宋" w:eastAsia="仿宋" w:cs="Arial"/>
          <w:sz w:val="28"/>
          <w:szCs w:val="28"/>
        </w:rPr>
        <w:t>（竞争报告和公司报告高端版本权限</w:t>
      </w:r>
      <w:r>
        <w:rPr>
          <w:rFonts w:ascii="仿宋" w:hAnsi="仿宋" w:eastAsia="仿宋" w:cs="Arial"/>
          <w:sz w:val="28"/>
          <w:szCs w:val="28"/>
        </w:rPr>
        <w:t>开放</w:t>
      </w:r>
      <w:r>
        <w:rPr>
          <w:rFonts w:hint="eastAsia" w:ascii="仿宋" w:hAnsi="仿宋" w:eastAsia="仿宋" w:cs="Arial"/>
          <w:sz w:val="28"/>
          <w:szCs w:val="28"/>
        </w:rPr>
        <w:t>）</w:t>
      </w:r>
      <w:r>
        <w:rPr>
          <w:rFonts w:ascii="仿宋" w:hAnsi="仿宋" w:eastAsia="仿宋" w:cs="Arial"/>
          <w:sz w:val="28"/>
          <w:szCs w:val="28"/>
        </w:rPr>
        <w:t>，且开创性的在报告中嵌入科技新闻，目前尚未有其他产品能够实现。</w:t>
      </w:r>
      <w:r>
        <w:rPr>
          <w:rFonts w:hint="eastAsia" w:ascii="仿宋" w:hAnsi="仿宋" w:eastAsia="仿宋" w:cs="Arial"/>
          <w:sz w:val="28"/>
          <w:szCs w:val="28"/>
        </w:rPr>
        <w:t>可根据需要的维度</w:t>
      </w:r>
      <w:r>
        <w:rPr>
          <w:rFonts w:hint="eastAsia" w:ascii="仿宋" w:hAnsi="仿宋" w:eastAsia="仿宋"/>
          <w:sz w:val="28"/>
          <w:szCs w:val="28"/>
        </w:rPr>
        <w:t>以Word文档的形式一键导出报告。</w:t>
      </w:r>
    </w:p>
    <w:p>
      <w:pPr>
        <w:pStyle w:val="6"/>
        <w:shd w:val="clear" w:color="auto" w:fill="FFFFFF"/>
        <w:spacing w:before="120" w:beforeAutospacing="0" w:after="120" w:afterAutospacing="0" w:line="360" w:lineRule="auto"/>
        <w:rPr>
          <w:rFonts w:hint="eastAsia" w:ascii="仿宋" w:hAnsi="仿宋" w:eastAsia="仿宋" w:cs="Arial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sz w:val="28"/>
          <w:szCs w:val="28"/>
          <w:lang w:eastAsia="zh-CN"/>
        </w:rPr>
        <w:drawing>
          <wp:inline distT="0" distB="0" distL="114300" distR="114300">
            <wp:extent cx="5270500" cy="2119630"/>
            <wp:effectExtent l="0" t="0" r="6350" b="13970"/>
            <wp:docPr id="45" name="图片 45" descr="图片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图片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120" w:after="120" w:line="360" w:lineRule="auto"/>
      </w:pPr>
      <w:r>
        <w:t>图</w:t>
      </w:r>
      <w:r>
        <w:rPr>
          <w:rFonts w:hint="eastAsia"/>
        </w:rPr>
        <w:t>：</w:t>
      </w:r>
      <w:r>
        <w:rPr>
          <w:rFonts w:hint="eastAsia" w:cs="Arial"/>
        </w:rPr>
        <w:t>大数据分析报告</w:t>
      </w:r>
    </w:p>
    <w:p/>
    <w:p/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widowControl/>
      <w:adjustRightInd w:val="0"/>
      <w:snapToGrid w:val="0"/>
      <w:spacing w:after="200"/>
      <w:jc w:val="center"/>
    </w:pPr>
    <w:rPr>
      <w:rFonts w:ascii="仿宋" w:hAnsi="仿宋" w:eastAsia="仿宋" w:cs="Times New Roman"/>
      <w:kern w:val="0"/>
      <w:sz w:val="24"/>
    </w:rPr>
  </w:style>
  <w:style w:type="paragraph" w:customStyle="1" w:styleId="6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伟大的金爷爷Ludas</cp:lastModifiedBy>
  <dcterms:modified xsi:type="dcterms:W3CDTF">2019-04-04T05:05:45Z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