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spacing w:before="156" w:beforeLines="50" w:after="156" w:afterLines="50" w:line="360" w:lineRule="auto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2.5.</w:t>
      </w:r>
      <w:r>
        <w:rPr>
          <w:rFonts w:hint="eastAsia" w:ascii="仿宋" w:hAnsi="仿宋" w:eastAsia="仿宋"/>
          <w:sz w:val="28"/>
        </w:rPr>
        <w:t>搜索结果展示与输出</w:t>
      </w:r>
    </w:p>
    <w:p>
      <w:pPr>
        <w:pStyle w:val="3"/>
        <w:rPr>
          <w:rFonts w:ascii="仿宋" w:hAnsi="仿宋" w:eastAsia="仿宋"/>
          <w:sz w:val="24"/>
        </w:rPr>
      </w:pPr>
      <w:bookmarkStart w:id="0" w:name="_Toc4579479"/>
      <w:r>
        <w:rPr>
          <w:rFonts w:ascii="仿宋" w:hAnsi="仿宋" w:eastAsia="仿宋"/>
          <w:sz w:val="24"/>
        </w:rPr>
        <w:t>2.5.1</w:t>
      </w:r>
      <w:r>
        <w:rPr>
          <w:rFonts w:hint="eastAsia" w:ascii="仿宋" w:hAnsi="仿宋" w:eastAsia="仿宋"/>
          <w:sz w:val="24"/>
        </w:rPr>
        <w:t>一键翻译</w:t>
      </w:r>
      <w:bookmarkEnd w:id="0"/>
    </w:p>
    <w:p>
      <w:pPr>
        <w:spacing w:line="360" w:lineRule="auto"/>
        <w:ind w:firstLine="7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</w:t>
      </w:r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323850" cy="266700"/>
            <wp:effectExtent l="0" t="0" r="0" b="0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>，我司特有的专利领域机器翻译引擎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对所选专利实时</w:t>
      </w:r>
      <w:r>
        <w:rPr>
          <w:rFonts w:ascii="仿宋" w:hAnsi="仿宋" w:eastAsia="仿宋"/>
          <w:sz w:val="28"/>
          <w:szCs w:val="28"/>
        </w:rPr>
        <w:t>在线</w:t>
      </w:r>
      <w:r>
        <w:rPr>
          <w:rFonts w:hint="eastAsia" w:ascii="仿宋" w:hAnsi="仿宋" w:eastAsia="仿宋"/>
          <w:sz w:val="28"/>
          <w:szCs w:val="28"/>
        </w:rPr>
        <w:t>一键翻译。</w:t>
      </w: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drawing>
          <wp:inline distT="0" distB="0" distL="114300" distR="114300">
            <wp:extent cx="5270500" cy="1302385"/>
            <wp:effectExtent l="0" t="0" r="6350" b="12065"/>
            <wp:docPr id="32" name="图片 32" descr="图片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图片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t>图</w:t>
      </w:r>
      <w:r>
        <w:rPr>
          <w:rFonts w:hint="eastAsia"/>
        </w:rPr>
        <w:t>：</w:t>
      </w:r>
      <w:r>
        <w:rPr>
          <w:rFonts w:hint="eastAsia" w:ascii="仿宋" w:hAnsi="仿宋" w:eastAsia="仿宋"/>
          <w:sz w:val="24"/>
          <w:szCs w:val="24"/>
        </w:rPr>
        <w:t>翻译前</w:t>
      </w:r>
    </w:p>
    <w:p>
      <w:pPr>
        <w:pStyle w:val="4"/>
        <w:rPr>
          <w:szCs w:val="24"/>
        </w:rPr>
      </w:pPr>
      <w:r>
        <w:drawing>
          <wp:inline distT="0" distB="0" distL="114300" distR="114300">
            <wp:extent cx="5264785" cy="1243330"/>
            <wp:effectExtent l="0" t="0" r="12065" b="13970"/>
            <wp:docPr id="33" name="图片 33" descr="图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图片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图</w:t>
      </w:r>
      <w:r>
        <w:rPr>
          <w:rFonts w:hint="eastAsia"/>
        </w:rPr>
        <w:t>：</w:t>
      </w:r>
      <w:r>
        <w:rPr>
          <w:rFonts w:hint="eastAsia"/>
          <w:szCs w:val="24"/>
        </w:rPr>
        <w:t xml:space="preserve">翻译后   </w:t>
      </w:r>
    </w:p>
    <w:p>
      <w:pPr>
        <w:rPr>
          <w:rFonts w:ascii="仿宋" w:hAnsi="仿宋" w:eastAsia="仿宋" w:cs="宋体"/>
          <w:b/>
          <w:bCs/>
          <w:sz w:val="24"/>
          <w:szCs w:val="32"/>
        </w:rPr>
      </w:pPr>
      <w:r>
        <w:rPr>
          <w:rFonts w:hint="eastAsia" w:ascii="仿宋" w:hAnsi="仿宋" w:eastAsia="仿宋" w:cs="宋体"/>
          <w:b/>
          <w:bCs/>
          <w:sz w:val="24"/>
          <w:szCs w:val="32"/>
        </w:rPr>
        <w:t>2.5.2双屏</w:t>
      </w:r>
      <w:r>
        <w:rPr>
          <w:rFonts w:ascii="仿宋" w:hAnsi="仿宋" w:eastAsia="仿宋" w:cs="宋体"/>
          <w:b/>
          <w:bCs/>
          <w:sz w:val="24"/>
          <w:szCs w:val="32"/>
        </w:rPr>
        <w:t>显示</w:t>
      </w:r>
    </w:p>
    <w:p>
      <w:pPr>
        <w:spacing w:line="360" w:lineRule="auto"/>
        <w:ind w:firstLine="7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版式固定，专利详情图文展示且支持双屏展示，使用户阅读更加方便。</w:t>
      </w:r>
    </w:p>
    <w:p>
      <w:pPr>
        <w:rPr>
          <w:rFonts w:hint="eastAsia" w:ascii="微软雅黑" w:hAnsi="微软雅黑" w:eastAsia="宋体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宋体" w:cs="微软雅黑"/>
          <w:sz w:val="28"/>
          <w:szCs w:val="28"/>
          <w:lang w:eastAsia="zh-CN"/>
        </w:rPr>
        <w:drawing>
          <wp:inline distT="0" distB="0" distL="114300" distR="114300">
            <wp:extent cx="5262245" cy="2272030"/>
            <wp:effectExtent l="0" t="0" r="14605" b="13970"/>
            <wp:docPr id="34" name="图片 34" descr="图片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图片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仿宋" w:hAnsi="仿宋" w:eastAsia="仿宋"/>
          <w:sz w:val="24"/>
        </w:rPr>
      </w:pPr>
      <w:bookmarkStart w:id="1" w:name="_Toc4579480"/>
      <w:r>
        <w:rPr>
          <w:rFonts w:ascii="仿宋" w:hAnsi="仿宋" w:eastAsia="仿宋"/>
          <w:sz w:val="24"/>
        </w:rPr>
        <w:t>2.5.2</w:t>
      </w:r>
      <w:r>
        <w:rPr>
          <w:rFonts w:hint="eastAsia" w:ascii="仿宋" w:hAnsi="仿宋" w:eastAsia="仿宋"/>
          <w:sz w:val="24"/>
        </w:rPr>
        <w:t>下载</w:t>
      </w:r>
      <w:bookmarkEnd w:id="1"/>
    </w:p>
    <w:p>
      <w:pPr>
        <w:spacing w:line="36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69230" cy="2426335"/>
            <wp:effectExtent l="0" t="0" r="7620" b="12065"/>
            <wp:docPr id="35" name="图片 35" descr="图片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图片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szCs w:val="24"/>
        </w:rPr>
      </w:pPr>
      <w:r>
        <w:t>图</w:t>
      </w:r>
      <w:r>
        <w:rPr>
          <w:rFonts w:hint="eastAsia"/>
        </w:rPr>
        <w:t>：</w:t>
      </w:r>
      <w:r>
        <w:rPr>
          <w:rFonts w:hint="eastAsia"/>
          <w:szCs w:val="24"/>
        </w:rPr>
        <w:t>下载</w:t>
      </w:r>
    </w:p>
    <w:p>
      <w:pPr>
        <w:spacing w:line="360" w:lineRule="auto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67325" cy="3089275"/>
            <wp:effectExtent l="0" t="0" r="9525" b="15875"/>
            <wp:docPr id="36" name="图片 36" descr="图片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图片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74310" cy="1143000"/>
            <wp:effectExtent l="0" t="0" r="2540" b="0"/>
            <wp:docPr id="37" name="图片 37" descr="图片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图片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szCs w:val="24"/>
        </w:rPr>
      </w:pPr>
      <w:r>
        <w:t>图</w:t>
      </w:r>
      <w:r>
        <w:rPr>
          <w:rFonts w:hint="eastAsia"/>
        </w:rPr>
        <w:t>：</w:t>
      </w:r>
      <w:r>
        <w:rPr>
          <w:rFonts w:hint="eastAsia"/>
          <w:szCs w:val="24"/>
        </w:rPr>
        <w:t>下载PD</w:t>
      </w:r>
      <w:r>
        <w:rPr>
          <w:szCs w:val="24"/>
        </w:rPr>
        <w:t>F</w:t>
      </w:r>
    </w:p>
    <w:p>
      <w:pPr>
        <w:pStyle w:val="3"/>
        <w:rPr>
          <w:rFonts w:ascii="仿宋" w:hAnsi="仿宋" w:eastAsia="仿宋"/>
          <w:sz w:val="24"/>
        </w:rPr>
      </w:pPr>
      <w:bookmarkStart w:id="2" w:name="_Toc4579481"/>
      <w:r>
        <w:rPr>
          <w:rFonts w:ascii="仿宋" w:hAnsi="仿宋" w:eastAsia="仿宋"/>
          <w:sz w:val="24"/>
        </w:rPr>
        <w:t>2.5.3</w:t>
      </w:r>
      <w:r>
        <w:rPr>
          <w:rFonts w:hint="eastAsia" w:ascii="仿宋" w:hAnsi="仿宋" w:eastAsia="仿宋"/>
          <w:sz w:val="24"/>
        </w:rPr>
        <w:t>导入专题库</w:t>
      </w:r>
      <w:bookmarkEnd w:id="2"/>
    </w:p>
    <w:p>
      <w:pPr>
        <w:spacing w:line="36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66690" cy="2474595"/>
            <wp:effectExtent l="0" t="0" r="10160" b="1905"/>
            <wp:docPr id="38" name="图片 38" descr="图片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图片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szCs w:val="24"/>
        </w:rPr>
      </w:pPr>
      <w:r>
        <w:t>图</w:t>
      </w:r>
      <w:r>
        <w:rPr>
          <w:rFonts w:hint="eastAsia"/>
        </w:rPr>
        <w:t>：</w:t>
      </w:r>
      <w:r>
        <w:rPr>
          <w:rFonts w:hint="eastAsia"/>
          <w:szCs w:val="24"/>
        </w:rPr>
        <w:t>导入专题库</w:t>
      </w:r>
    </w:p>
    <w:p>
      <w:pPr>
        <w:pStyle w:val="3"/>
        <w:rPr>
          <w:rFonts w:ascii="仿宋" w:hAnsi="仿宋" w:eastAsia="仿宋"/>
          <w:sz w:val="24"/>
        </w:rPr>
      </w:pPr>
      <w:bookmarkStart w:id="3" w:name="_Toc4579482"/>
      <w:r>
        <w:rPr>
          <w:rFonts w:ascii="仿宋" w:hAnsi="仿宋" w:eastAsia="仿宋"/>
          <w:sz w:val="24"/>
        </w:rPr>
        <w:t>2.5.4</w:t>
      </w:r>
      <w:r>
        <w:rPr>
          <w:rFonts w:hint="eastAsia" w:ascii="仿宋" w:hAnsi="仿宋" w:eastAsia="仿宋"/>
          <w:sz w:val="24"/>
        </w:rPr>
        <w:t>分析</w:t>
      </w:r>
      <w:bookmarkEnd w:id="3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分析</w:t>
      </w:r>
      <w:r>
        <w:rPr>
          <w:rFonts w:ascii="仿宋" w:hAnsi="仿宋" w:eastAsia="仿宋"/>
          <w:sz w:val="28"/>
          <w:szCs w:val="28"/>
        </w:rPr>
        <w:t>维度一览表，</w:t>
      </w:r>
      <w:r>
        <w:rPr>
          <w:rFonts w:hint="eastAsia" w:ascii="仿宋" w:hAnsi="仿宋" w:eastAsia="仿宋"/>
          <w:sz w:val="28"/>
          <w:szCs w:val="28"/>
        </w:rPr>
        <w:t>支持导出</w:t>
      </w:r>
      <w:r>
        <w:rPr>
          <w:rFonts w:ascii="仿宋" w:hAnsi="仿宋" w:eastAsia="仿宋"/>
          <w:sz w:val="28"/>
          <w:szCs w:val="28"/>
        </w:rPr>
        <w:t>分析报告</w:t>
      </w:r>
      <w:r>
        <w:rPr>
          <w:rFonts w:hint="eastAsia" w:ascii="仿宋" w:hAnsi="仿宋" w:eastAsia="仿宋"/>
          <w:sz w:val="28"/>
          <w:szCs w:val="28"/>
        </w:rPr>
        <w:t>。</w:t>
      </w:r>
    </w:p>
    <w:tbl>
      <w:tblPr>
        <w:tblStyle w:val="5"/>
        <w:tblW w:w="8642" w:type="dxa"/>
        <w:tblInd w:w="0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126"/>
        <w:gridCol w:w="1559"/>
        <w:gridCol w:w="1134"/>
        <w:gridCol w:w="2410"/>
      </w:tblGrid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bottom w:val="single" w:color="666666" w:sz="12" w:space="0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分析类型</w:t>
            </w:r>
          </w:p>
        </w:tc>
        <w:tc>
          <w:tcPr>
            <w:tcW w:w="2126" w:type="dxa"/>
            <w:tcBorders>
              <w:bottom w:val="single" w:color="666666" w:sz="12" w:space="0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分析名称</w:t>
            </w:r>
          </w:p>
        </w:tc>
        <w:tc>
          <w:tcPr>
            <w:tcW w:w="1559" w:type="dxa"/>
            <w:tcBorders>
              <w:bottom w:val="single" w:color="666666" w:sz="12" w:space="0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横轴</w:t>
            </w:r>
          </w:p>
        </w:tc>
        <w:tc>
          <w:tcPr>
            <w:tcW w:w="1134" w:type="dxa"/>
            <w:tcBorders>
              <w:bottom w:val="single" w:color="666666" w:sz="12" w:space="0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图列</w:t>
            </w:r>
          </w:p>
        </w:tc>
        <w:tc>
          <w:tcPr>
            <w:tcW w:w="2410" w:type="dxa"/>
            <w:tcBorders>
              <w:bottom w:val="single" w:color="666666" w:sz="12" w:space="0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before="0" w:beforeAutospacing="0" w:after="0" w:afterAutospacing="0" w:line="375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before="0" w:beforeAutospacing="0" w:after="0" w:afterAutospacing="0" w:line="375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before="0" w:beforeAutospacing="0" w:after="0" w:afterAutospacing="0" w:line="375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申请人分析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申请人排名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申请人（专利人）排名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发明人排名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发明（设计）人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发明人</w:t>
            </w: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申请量趋势分析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申请人技术构成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分类号</w:t>
            </w: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统计不同申请人的技术分布情况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发明人技术构成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发明（设计）人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IPC分类号</w:t>
            </w: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统计不同发明人技术分布情况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专利类型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专利类型</w:t>
            </w: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区域分析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全球排名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专利公开国别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专利公开国别</w:t>
            </w: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统计各国申请趋势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全球申请趋势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申请日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专利公开国别</w:t>
            </w: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统计各国公开趋势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全球公开趋势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公开日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IPC分类号</w:t>
            </w: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统计各国按技术分类统计情况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全国排名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省份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申请量</w:t>
            </w: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分类分析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技术分类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国际分类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IPC分类号</w:t>
            </w: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IPC默认按小类统计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技术申请趋势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时间（年份）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IPC分类号</w:t>
            </w: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技术涉及领域统计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技术公开趋势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时间（年份）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IPC分类号</w:t>
            </w: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法律分析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专利当前法律状态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当前法律状态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括公开、实质审查、撤回、驳回、审定、授权、放弃、部分无效、全部无效、部分撤销、全部撤销、权利终止和权利恢复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自定义分析</w:t>
            </w:r>
          </w:p>
        </w:tc>
        <w:tc>
          <w:tcPr>
            <w:tcW w:w="7229" w:type="dxa"/>
            <w:gridSpan w:val="4"/>
            <w:shd w:val="clear" w:color="auto" w:fill="auto"/>
            <w:noWrap w:val="0"/>
            <w:vAlign w:val="top"/>
          </w:tcPr>
          <w:p>
            <w:pPr>
              <w:pStyle w:val="7"/>
              <w:spacing w:before="0" w:beforeAutospacing="0" w:after="0" w:afterAutospacing="0" w:line="375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支持随意匹配参数配置，以气泡图、嵌套图、关系图、树型图、旭日图、多柱图、多线图、河流图、堆叠柱状图、堆叠面积图等多展示形式展示。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61610" cy="2444115"/>
            <wp:effectExtent l="0" t="0" r="15240" b="13335"/>
            <wp:docPr id="39" name="图片 39" descr="图片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图片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szCs w:val="24"/>
        </w:rPr>
      </w:pPr>
      <w:r>
        <w:t>图</w:t>
      </w:r>
      <w:r>
        <w:rPr>
          <w:rFonts w:hint="eastAsia"/>
        </w:rPr>
        <w:t>：</w:t>
      </w:r>
      <w:r>
        <w:rPr>
          <w:rFonts w:hint="eastAsia"/>
          <w:szCs w:val="24"/>
        </w:rPr>
        <w:t>分析-整体概览</w:t>
      </w:r>
    </w:p>
    <w:p>
      <w:pPr>
        <w:pStyle w:val="3"/>
        <w:rPr>
          <w:rFonts w:ascii="仿宋" w:hAnsi="仿宋" w:eastAsia="仿宋"/>
          <w:sz w:val="24"/>
        </w:rPr>
      </w:pPr>
      <w:bookmarkStart w:id="4" w:name="_Toc4579483"/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.</w:t>
      </w:r>
      <w:r>
        <w:rPr>
          <w:rFonts w:ascii="仿宋" w:hAnsi="仿宋" w:eastAsia="仿宋"/>
          <w:sz w:val="24"/>
        </w:rPr>
        <w:t>5.5</w:t>
      </w:r>
      <w:r>
        <w:rPr>
          <w:rFonts w:hint="eastAsia" w:ascii="仿宋" w:hAnsi="仿宋" w:eastAsia="仿宋"/>
          <w:sz w:val="24"/>
        </w:rPr>
        <w:t>数据统计</w:t>
      </w:r>
      <w:bookmarkEnd w:id="4"/>
    </w:p>
    <w:p>
      <w:pPr>
        <w:spacing w:line="360" w:lineRule="auto"/>
        <w:rPr>
          <w:rFonts w:hint="eastAsia" w:ascii="仿宋" w:hAnsi="仿宋" w:eastAsia="宋体"/>
          <w:sz w:val="28"/>
          <w:szCs w:val="28"/>
          <w:lang w:eastAsia="zh-CN"/>
        </w:rPr>
      </w:pPr>
      <w:r>
        <w:rPr>
          <w:rFonts w:hint="eastAsia" w:ascii="仿宋" w:hAnsi="仿宋" w:eastAsia="宋体"/>
          <w:sz w:val="28"/>
          <w:szCs w:val="28"/>
          <w:lang w:eastAsia="zh-CN"/>
        </w:rPr>
        <w:drawing>
          <wp:inline distT="0" distB="0" distL="114300" distR="114300">
            <wp:extent cx="5267325" cy="1651000"/>
            <wp:effectExtent l="0" t="0" r="9525" b="6350"/>
            <wp:docPr id="40" name="图片 40" descr="图片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图片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szCs w:val="24"/>
        </w:rPr>
      </w:pPr>
      <w:r>
        <w:t>图</w:t>
      </w:r>
      <w:r>
        <w:rPr>
          <w:rFonts w:hint="eastAsia"/>
        </w:rPr>
        <w:t>：</w:t>
      </w:r>
      <w:r>
        <w:rPr>
          <w:rFonts w:hint="eastAsia"/>
          <w:szCs w:val="24"/>
        </w:rPr>
        <w:t>数据统计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widowControl/>
      <w:spacing w:before="500" w:after="500" w:line="416" w:lineRule="auto"/>
      <w:jc w:val="left"/>
      <w:outlineLvl w:val="2"/>
    </w:pPr>
    <w:rPr>
      <w:rFonts w:ascii="宋体" w:hAnsi="宋体" w:cs="宋体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pPr>
      <w:widowControl/>
      <w:adjustRightInd w:val="0"/>
      <w:snapToGrid w:val="0"/>
      <w:spacing w:after="200"/>
      <w:jc w:val="center"/>
    </w:pPr>
    <w:rPr>
      <w:rFonts w:ascii="仿宋" w:hAnsi="仿宋" w:eastAsia="仿宋" w:cs="Times New Roman"/>
      <w:kern w:val="0"/>
      <w:sz w:val="24"/>
    </w:rPr>
  </w:style>
  <w:style w:type="paragraph" w:customStyle="1" w:styleId="7">
    <w:name w:val="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伟大的金爷爷Ludas</cp:lastModifiedBy>
  <dcterms:modified xsi:type="dcterms:W3CDTF">2019-04-04T05:05:43Z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